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4EE76" w14:textId="77777777" w:rsidR="00404605" w:rsidRDefault="00323BDA">
      <w:pPr>
        <w:keepNext/>
        <w:spacing w:before="120" w:after="60"/>
      </w:pPr>
      <w:r>
        <w:rPr>
          <w:b/>
          <w:color w:val="2E74B5"/>
          <w:sz w:val="19"/>
        </w:rPr>
        <w:t>AGAINST GENOMIC DISCRIMINATION AOTEAROA — AGENDA</w:t>
      </w:r>
    </w:p>
    <w:p w14:paraId="28553BDA" w14:textId="77777777" w:rsidR="00404605" w:rsidRDefault="00323BDA">
      <w:r>
        <w:rPr>
          <w:b/>
        </w:rPr>
        <w:t>Subject:</w:t>
      </w:r>
      <w:r>
        <w:t xml:space="preserve"> Please support consultation on genetic discrimination in insurance</w:t>
      </w:r>
    </w:p>
    <w:p w14:paraId="7D0139B1" w14:textId="77777777" w:rsidR="009450FE" w:rsidRDefault="009450FE"/>
    <w:p w14:paraId="68E5F48F" w14:textId="4631BBDF" w:rsidR="00404605" w:rsidRDefault="00323BDA">
      <w:r>
        <w:t>Kia ora [MP’s name]</w:t>
      </w:r>
    </w:p>
    <w:p w14:paraId="6A287882" w14:textId="77777777" w:rsidR="009450FE" w:rsidRDefault="009450FE"/>
    <w:p w14:paraId="58E3EE09" w14:textId="330F39C8" w:rsidR="00404605" w:rsidRDefault="00323BDA">
      <w:r>
        <w:t>I am writing as a constituent to ask for your support for consultation on protections against genetic discrimination in insurance.</w:t>
      </w:r>
    </w:p>
    <w:p w14:paraId="3B2FB22D" w14:textId="77777777" w:rsidR="00404605" w:rsidRDefault="00323BDA">
      <w:r>
        <w:t>On 19 August, Against Genomic Discrimination Aotearoa—AGenDA briefed Parliament’s Health Committee on the public-health and consumer consequences of insurers being able to use predictive genetic-test results.</w:t>
      </w:r>
    </w:p>
    <w:p w14:paraId="2FD33932" w14:textId="77777777" w:rsidR="00404605" w:rsidRDefault="00323BDA">
      <w:r>
        <w:t>Parliament has already established a regulatory pathway through sections 83–85 of the Contracts of Insurance Act 2024. These provisions were added following consideration by the Finance and Expenditure Committee, with support across party lines and with the expectation that consultation would follow.</w:t>
      </w:r>
    </w:p>
    <w:p w14:paraId="55460CA1" w14:textId="77777777" w:rsidR="00404605" w:rsidRDefault="00323BDA">
      <w:r>
        <w:t>However, regulations cannot be recommended until the consultation required by section 85 has occurred. We understand that consultation material has been prepared, but Cabinet has not authorised the process to begin.</w:t>
      </w:r>
    </w:p>
    <w:p w14:paraId="7B5F51AE" w14:textId="77777777" w:rsidR="00404605" w:rsidRDefault="00323BDA">
      <w:r>
        <w:t>Commencing consultation would not predetermine the final regulatory model. It would allow patients, consumers, Māori, health professionals, researchers, insurers, actuaries and regulators to present evidence and help develop proportionate safeguards.</w:t>
      </w:r>
    </w:p>
    <w:p w14:paraId="12CD6E35" w14:textId="77777777" w:rsidR="00404605" w:rsidRDefault="00323BDA">
      <w:r>
        <w:t>The issue matters because genetic testing is increasingly used to diagnose rare disorders, identify inherited risks, guide treatment and enable prevention and earlier diagnosis. People should not have to fear that following medical advice and obtaining potentially life-saving information could make insurance more expensive or difficult to obtain.</w:t>
      </w:r>
    </w:p>
    <w:p w14:paraId="6E09B39A" w14:textId="77777777" w:rsidR="00404605" w:rsidRDefault="00323BDA">
      <w:r>
        <w:t>New Zealand remains at the extreme end of OECD practice, without operative protection governing insurers’ use of predictive genetic-test results. Meanwhile, Australia will prohibit the adverse use of genetic-test results in life-insurance underwriting from 8 October 2026.</w:t>
      </w:r>
    </w:p>
    <w:p w14:paraId="053C1EAC" w14:textId="77777777" w:rsidR="00404605" w:rsidRDefault="00323BDA">
      <w:pPr>
        <w:keepNext/>
      </w:pPr>
      <w:r>
        <w:t>I therefore ask you to:</w:t>
      </w:r>
    </w:p>
    <w:p w14:paraId="6E716C8C" w14:textId="77777777" w:rsidR="00404605" w:rsidRDefault="00323BDA">
      <w:pPr>
        <w:numPr>
          <w:ilvl w:val="0"/>
          <w:numId w:val="1"/>
        </w:numPr>
        <w:spacing w:after="120" w:line="264" w:lineRule="auto"/>
      </w:pPr>
      <w:r>
        <w:t>support AGenDA’s request for consultation under sections 83–85 to commence before the end of 2026; and</w:t>
      </w:r>
    </w:p>
    <w:p w14:paraId="105E1C51" w14:textId="77777777" w:rsidR="00404605" w:rsidRDefault="00323BDA">
      <w:pPr>
        <w:numPr>
          <w:ilvl w:val="0"/>
          <w:numId w:val="1"/>
        </w:numPr>
        <w:spacing w:after="120" w:line="264" w:lineRule="auto"/>
      </w:pPr>
      <w:r>
        <w:t>advocate for this within the National Party caucus and with the responsible Minister, Hon Cameron Brewer.</w:t>
      </w:r>
    </w:p>
    <w:p w14:paraId="057100CF" w14:textId="77777777" w:rsidR="00404605" w:rsidRDefault="00323BDA">
      <w:r>
        <w:t>This is a request to begin an open, evidence-based process—not to predetermine its outcome.</w:t>
      </w:r>
    </w:p>
    <w:p w14:paraId="5B38AD36" w14:textId="77777777" w:rsidR="00404605" w:rsidRDefault="00323BDA">
      <w:pPr>
        <w:spacing w:after="120"/>
      </w:pPr>
      <w:r>
        <w:t xml:space="preserve">AGenDA’s Health Committee briefing can be viewed here: </w:t>
      </w:r>
      <w:hyperlink r:id="rId8">
        <w:r>
          <w:rPr>
            <w:color w:val="0563C1"/>
            <w:u w:val="single"/>
          </w:rPr>
          <w:t>Health Committee briefing, 19 August 2026</w:t>
        </w:r>
      </w:hyperlink>
    </w:p>
    <w:p w14:paraId="197684CD" w14:textId="77777777" w:rsidR="001A422D" w:rsidRDefault="00323BDA" w:rsidP="001A422D">
      <w:pPr>
        <w:spacing w:after="120"/>
        <w:rPr>
          <w:i/>
          <w:color w:val="606974"/>
        </w:rPr>
      </w:pPr>
      <w:proofErr w:type="spellStart"/>
      <w:r>
        <w:t>AGenDA’s</w:t>
      </w:r>
      <w:proofErr w:type="spellEnd"/>
      <w:r>
        <w:t xml:space="preserve"> written material submitted to the Health Committee can be viewed here: </w:t>
      </w:r>
      <w:proofErr w:type="spellStart"/>
      <w:r w:rsidR="001A422D" w:rsidRPr="001A422D">
        <w:rPr>
          <w:i/>
          <w:color w:val="606974"/>
        </w:rPr>
        <w:t>AGenDA’s</w:t>
      </w:r>
      <w:proofErr w:type="spellEnd"/>
      <w:r w:rsidR="001A422D" w:rsidRPr="001A422D">
        <w:rPr>
          <w:i/>
          <w:color w:val="606974"/>
        </w:rPr>
        <w:t xml:space="preserve"> </w:t>
      </w:r>
      <w:hyperlink r:id="rId9" w:tgtFrame="_new" w:history="1">
        <w:r w:rsidR="001A422D" w:rsidRPr="001A422D">
          <w:rPr>
            <w:rStyle w:val="Hyperlink"/>
            <w:i/>
          </w:rPr>
          <w:t>written submission</w:t>
        </w:r>
      </w:hyperlink>
      <w:r w:rsidR="001A422D" w:rsidRPr="001A422D">
        <w:rPr>
          <w:i/>
          <w:color w:val="606974"/>
        </w:rPr>
        <w:t xml:space="preserve"> and </w:t>
      </w:r>
      <w:hyperlink r:id="rId10" w:tgtFrame="_new" w:history="1">
        <w:r w:rsidR="001A422D" w:rsidRPr="001A422D">
          <w:rPr>
            <w:rStyle w:val="Hyperlink"/>
            <w:i/>
          </w:rPr>
          <w:t>supplementary information</w:t>
        </w:r>
      </w:hyperlink>
      <w:r w:rsidR="001A422D">
        <w:rPr>
          <w:i/>
          <w:color w:val="606974"/>
        </w:rPr>
        <w:t>.</w:t>
      </w:r>
    </w:p>
    <w:p w14:paraId="17B2FC70" w14:textId="6F11D071" w:rsidR="00404605" w:rsidRDefault="00323BDA" w:rsidP="001A422D">
      <w:pPr>
        <w:spacing w:after="120"/>
      </w:pPr>
      <w:r>
        <w:t>I would appreciate knowing whether you support the commencement of consultation.</w:t>
      </w:r>
    </w:p>
    <w:p w14:paraId="488B0FF5" w14:textId="77777777" w:rsidR="00404605" w:rsidRDefault="00323BDA">
      <w:pPr>
        <w:keepNext/>
        <w:spacing w:before="80"/>
      </w:pPr>
      <w:r>
        <w:t>Ngā mihi</w:t>
      </w:r>
    </w:p>
    <w:p w14:paraId="19EFF77B" w14:textId="77777777" w:rsidR="00404605" w:rsidRDefault="00323BDA">
      <w:pPr>
        <w:keepNext/>
        <w:spacing w:after="0"/>
      </w:pPr>
      <w:r>
        <w:rPr>
          <w:b/>
        </w:rPr>
        <w:t>[Name]</w:t>
      </w:r>
    </w:p>
    <w:p w14:paraId="25F5FC7B" w14:textId="77777777" w:rsidR="00404605" w:rsidRDefault="00323BDA">
      <w:pPr>
        <w:keepNext/>
        <w:spacing w:after="0"/>
      </w:pPr>
      <w:r>
        <w:t>[Address or electorate]</w:t>
      </w:r>
    </w:p>
    <w:p w14:paraId="68E3C982" w14:textId="77777777" w:rsidR="00404605" w:rsidRDefault="00323BDA">
      <w:pPr>
        <w:spacing w:after="0"/>
      </w:pPr>
      <w:r>
        <w:t>[Organisation, if applicable]</w:t>
      </w:r>
    </w:p>
    <w:sectPr w:rsidR="00404605" w:rsidSect="00034616">
      <w:headerReference w:type="default" r:id="rId11"/>
      <w:footerReference w:type="default" r:id="rId12"/>
      <w:pgSz w:w="12240" w:h="15840"/>
      <w:pgMar w:top="1037" w:right="1440" w:bottom="1037"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30948" w14:textId="77777777" w:rsidR="00931D9A" w:rsidRDefault="00931D9A">
      <w:pPr>
        <w:spacing w:after="0" w:line="240" w:lineRule="auto"/>
      </w:pPr>
      <w:r>
        <w:separator/>
      </w:r>
    </w:p>
  </w:endnote>
  <w:endnote w:type="continuationSeparator" w:id="0">
    <w:p w14:paraId="03F66955" w14:textId="77777777" w:rsidR="00931D9A" w:rsidRDefault="0093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D410C" w14:textId="77777777" w:rsidR="00404605" w:rsidRDefault="00323BDA">
    <w:pPr>
      <w:pStyle w:val="Footer"/>
      <w:jc w:val="right"/>
    </w:pPr>
    <w:r>
      <w:rPr>
        <w:color w:val="606974"/>
        <w:sz w:val="18"/>
      </w:rPr>
      <w:t xml:space="preserve">Page </w:t>
    </w:r>
    <w:r>
      <w:rPr>
        <w:color w:val="606974"/>
        <w:sz w:val="18"/>
      </w:rPr>
      <w:fldChar w:fldCharType="begin"/>
    </w:r>
    <w:r>
      <w:rPr>
        <w:color w:val="606974"/>
        <w:sz w:val="18"/>
      </w:rPr>
      <w:instrText xml:space="preserve"> PAGE </w:instrText>
    </w:r>
    <w:r>
      <w:rPr>
        <w:color w:val="606974"/>
        <w:sz w:val="18"/>
      </w:rPr>
      <w:fldChar w:fldCharType="separate"/>
    </w:r>
    <w:r w:rsidR="001A422D">
      <w:rPr>
        <w:noProof/>
        <w:color w:val="606974"/>
        <w:sz w:val="18"/>
      </w:rPr>
      <w:t>1</w:t>
    </w:r>
    <w:r>
      <w:rPr>
        <w:color w:val="606974"/>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0833F" w14:textId="77777777" w:rsidR="00931D9A" w:rsidRDefault="00931D9A">
      <w:pPr>
        <w:spacing w:after="0" w:line="240" w:lineRule="auto"/>
      </w:pPr>
      <w:r>
        <w:separator/>
      </w:r>
    </w:p>
  </w:footnote>
  <w:footnote w:type="continuationSeparator" w:id="0">
    <w:p w14:paraId="4E80353A" w14:textId="77777777" w:rsidR="00931D9A" w:rsidRDefault="00931D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8BA26" w14:textId="6EEE4749" w:rsidR="00404605" w:rsidRDefault="00323BDA">
    <w:pPr>
      <w:pStyle w:val="Header"/>
    </w:pPr>
    <w:proofErr w:type="spellStart"/>
    <w:proofErr w:type="gramStart"/>
    <w:r>
      <w:rPr>
        <w:b/>
        <w:color w:val="606974"/>
        <w:sz w:val="18"/>
      </w:rPr>
      <w:t>AGenDA</w:t>
    </w:r>
    <w:proofErr w:type="spellEnd"/>
    <w:r>
      <w:rPr>
        <w:b/>
        <w:color w:val="606974"/>
        <w:sz w:val="18"/>
      </w:rPr>
      <w:t xml:space="preserve"> |</w:t>
    </w:r>
    <w:proofErr w:type="gramEnd"/>
    <w:r>
      <w:rPr>
        <w:b/>
        <w:color w:val="606974"/>
        <w:sz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49D3AD0"/>
    <w:multiLevelType w:val="singleLevel"/>
    <w:tmpl w:val="08004C5A"/>
    <w:lvl w:ilvl="0">
      <w:start w:val="1"/>
      <w:numFmt w:val="bullet"/>
      <w:pStyle w:val="ListBullet"/>
      <w:lvlText w:val="•"/>
      <w:lvlJc w:val="left"/>
      <w:pPr>
        <w:tabs>
          <w:tab w:val="num" w:pos="720"/>
        </w:tabs>
        <w:spacing w:after="160" w:line="280" w:lineRule="auto"/>
        <w:ind w:left="720" w:hanging="360"/>
      </w:pPr>
      <w:rPr>
        <w:rFonts w:ascii="Calibri" w:hAnsi="Calibri"/>
      </w:rPr>
    </w:lvl>
  </w:abstractNum>
  <w:num w:numId="1" w16cid:durableId="18611669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A422D"/>
    <w:rsid w:val="0029639D"/>
    <w:rsid w:val="00323BDA"/>
    <w:rsid w:val="00326F90"/>
    <w:rsid w:val="00404605"/>
    <w:rsid w:val="0067610B"/>
    <w:rsid w:val="00931D9A"/>
    <w:rsid w:val="009450FE"/>
    <w:rsid w:val="00AA1D8D"/>
    <w:rsid w:val="00B47730"/>
    <w:rsid w:val="00CB0664"/>
    <w:rsid w:val="00E9006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801D0E"/>
  <w14:defaultImageDpi w14:val="300"/>
  <w15:docId w15:val="{3C09D600-DBA8-4EDC-87D4-6BB66FD2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52" w:lineRule="auto"/>
    </w:pPr>
    <w:rPr>
      <w:rFonts w:ascii="Calibri" w:hAnsi="Calibri"/>
      <w:color w:val="000000"/>
      <w:sz w:val="21"/>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outlineLvl w:val="2"/>
    </w:pPr>
    <w:rPr>
      <w:rFonts w:asciiTheme="majorHAnsi" w:eastAsiaTheme="majorEastAsia" w:hAnsiTheme="majorHAnsi" w:cstheme="majorBid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360"/>
      </w:tabs>
      <w:contextualSpacing/>
    </w:pPr>
  </w:style>
  <w:style w:type="paragraph" w:styleId="ListBullet3">
    <w:name w:val="List Bullet 3"/>
    <w:basedOn w:val="Normal"/>
    <w:uiPriority w:val="99"/>
    <w:unhideWhenUsed/>
    <w:rsid w:val="00326F90"/>
    <w:pPr>
      <w:tabs>
        <w:tab w:val="num" w:pos="360"/>
      </w:tabs>
      <w:contextualSpacing/>
    </w:pPr>
  </w:style>
  <w:style w:type="paragraph" w:styleId="ListNumber">
    <w:name w:val="List Number"/>
    <w:basedOn w:val="Normal"/>
    <w:uiPriority w:val="99"/>
    <w:unhideWhenUsed/>
    <w:rsid w:val="00326F90"/>
    <w:pPr>
      <w:tabs>
        <w:tab w:val="num" w:pos="360"/>
      </w:tabs>
      <w:contextualSpacing/>
    </w:pPr>
  </w:style>
  <w:style w:type="paragraph" w:styleId="ListNumber2">
    <w:name w:val="List Number 2"/>
    <w:basedOn w:val="Normal"/>
    <w:uiPriority w:val="99"/>
    <w:unhideWhenUsed/>
    <w:rsid w:val="0029639D"/>
    <w:pPr>
      <w:tabs>
        <w:tab w:val="num" w:pos="360"/>
      </w:tabs>
      <w:contextualSpacing/>
    </w:pPr>
  </w:style>
  <w:style w:type="paragraph" w:styleId="ListNumber3">
    <w:name w:val="List Number 3"/>
    <w:basedOn w:val="Normal"/>
    <w:uiPriority w:val="99"/>
    <w:unhideWhenUsed/>
    <w:rsid w:val="0029639D"/>
    <w:pPr>
      <w:tabs>
        <w:tab w:val="num" w:pos="360"/>
      </w:tabs>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160" w:line="264" w:lineRule="auto"/>
    </w:pPr>
    <w:rPr>
      <w:rFonts w:ascii="Calibri" w:hAnsi="Calibri"/>
      <w:color w:val="606974"/>
      <w:sz w:val="19"/>
    </w:rPr>
  </w:style>
  <w:style w:type="character" w:styleId="Hyperlink">
    <w:name w:val="Hyperlink"/>
    <w:basedOn w:val="DefaultParagraphFont"/>
    <w:uiPriority w:val="99"/>
    <w:unhideWhenUsed/>
    <w:rsid w:val="001A422D"/>
    <w:rPr>
      <w:color w:val="0000FF" w:themeColor="hyperlink"/>
      <w:u w:val="single"/>
    </w:rPr>
  </w:style>
  <w:style w:type="character" w:styleId="UnresolvedMention">
    <w:name w:val="Unresolved Mention"/>
    <w:basedOn w:val="DefaultParagraphFont"/>
    <w:uiPriority w:val="99"/>
    <w:semiHidden/>
    <w:unhideWhenUsed/>
    <w:rsid w:val="001A4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meo.com/showcase/10758257/video/1215610806"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3.parliament.nz/en/pb/sc/submissions-and-advice/document/54SCHEA_EVI_d0409358-a4df-40ce-d82d-08dee848d55a_HEA43077/against-genomic-discrimination-aotearoa-agenda-supp-1?utm_source=chatgpt.com" TargetMode="External"/><Relationship Id="rId4" Type="http://schemas.openxmlformats.org/officeDocument/2006/relationships/settings" Target="settings.xml"/><Relationship Id="rId9" Type="http://schemas.openxmlformats.org/officeDocument/2006/relationships/hyperlink" Target="https://www3.parliament.nz/en/pb/sc/submissions-and-advice/document/54SCHEA_EVI_d0409358-a4df-40ce-d82d-08dee848d55a_HEA43072/against-genomic-discrimination-aotearoa-agenda?utm_source=chatgpt.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464</Words>
  <Characters>2646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letter to a National MP: consultation on genetic discrimination in insurance</dc:title>
  <dc:subject>Constituent request for consultation under sections 83–85 of the Contracts of Insurance Act 2024</dc:subject>
  <dc:creator>Against Genomic Discrimination Aotearoa — AGenDA</dc:creator>
  <cp:keywords>genetic discrimination; insurance; consultation; public health</cp:keywords>
  <dc:description>generated by python-docx</dc:description>
  <cp:lastModifiedBy>Angela Nielsen</cp:lastModifiedBy>
  <cp:revision>3</cp:revision>
  <dcterms:created xsi:type="dcterms:W3CDTF">2026-08-19T20:35:00Z</dcterms:created>
  <dcterms:modified xsi:type="dcterms:W3CDTF">2026-08-21T02:47:00Z</dcterms:modified>
  <cp:category/>
</cp:coreProperties>
</file>